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</w:rPr>
      </w:pPr>
      <w:bookmarkStart w:id="0" w:name="_Toc270661848"/>
      <w:r>
        <w:rPr>
          <w:rFonts w:hint="eastAsia"/>
          <w:color w:val="auto"/>
        </w:rPr>
        <w:t>卷  之  三</w:t>
      </w:r>
      <w:bookmarkEnd w:id="0"/>
    </w:p>
    <w:p>
      <w:pPr>
        <w:pStyle w:val="3"/>
        <w:rPr>
          <w:color w:val="auto"/>
        </w:rPr>
      </w:pPr>
      <w:bookmarkStart w:id="1" w:name="_Toc270661849"/>
      <w:r>
        <w:rPr>
          <w:rFonts w:hint="eastAsia"/>
          <w:color w:val="auto"/>
        </w:rPr>
        <w:t>《本草征要》上</w:t>
      </w:r>
      <w:bookmarkEnd w:id="1"/>
    </w:p>
    <w:p>
      <w:pPr>
        <w:pStyle w:val="4"/>
        <w:rPr>
          <w:color w:val="auto"/>
        </w:rPr>
      </w:pPr>
      <w:bookmarkStart w:id="2" w:name="_Toc270661850"/>
      <w:r>
        <w:rPr>
          <w:rFonts w:hint="eastAsia"/>
          <w:color w:val="auto"/>
          <w:szCs w:val="28"/>
        </w:rPr>
        <w:t>草  部</w:t>
      </w:r>
      <w:r>
        <w:rPr>
          <w:rFonts w:hint="eastAsia" w:ascii="楷体_GB2312" w:hAnsi="楷体_GB2312" w:eastAsia="楷体_GB2312"/>
          <w:bCs w:val="0"/>
          <w:color w:val="auto"/>
          <w:sz w:val="21"/>
        </w:rPr>
        <w:t>(一百八十七种)</w:t>
      </w:r>
      <w:r>
        <w:rPr>
          <w:rFonts w:hint="eastAsia"/>
          <w:color w:val="auto"/>
          <w:vertAlign w:val="superscript"/>
        </w:rPr>
        <w:t>[1]</w:t>
      </w:r>
      <w:bookmarkEnd w:id="2"/>
    </w:p>
    <w:p>
      <w:pPr>
        <w:rPr>
          <w:color w:val="auto"/>
        </w:rPr>
      </w:pPr>
      <w:bookmarkStart w:id="3" w:name="_Toc270661868"/>
      <w:r>
        <w:rPr>
          <w:rStyle w:val="7"/>
          <w:rFonts w:hint="eastAsia"/>
          <w:color w:val="auto"/>
        </w:rPr>
        <w:t>芎</w:t>
      </w:r>
      <w:r>
        <w:rPr>
          <w:rStyle w:val="7"/>
          <w:rFonts w:hint="eastAsia" w:ascii="宋体" w:hAnsi="宋体" w:eastAsia="宋体"/>
          <w:color w:val="auto"/>
        </w:rPr>
        <w:t></w:t>
      </w:r>
      <w:bookmarkEnd w:id="3"/>
      <w:r>
        <w:rPr>
          <w:rFonts w:hint="eastAsia" w:ascii="楷体_GB2312" w:hAnsi="楷体" w:eastAsia="楷体_GB2312"/>
          <w:color w:val="auto"/>
        </w:rPr>
        <w:t>(味辛，温，无毒，入肝经。白芷为使，畏黄连)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hint="eastAsia"/>
          <w:color w:val="auto"/>
        </w:rPr>
        <w:t xml:space="preserve"> 主头痛面风，泪出多涕，寒痹筋  挛，去瘀生新，调经种子，长肉排脓。小者名抚芎，止利且开郁。</w:t>
      </w:r>
    </w:p>
    <w:p>
      <w:pPr>
        <w:rPr>
          <w:rFonts w:ascii="楷体_GB2312" w:hAnsi="楷体" w:eastAsia="楷体_GB2312"/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楷体_GB2312" w:hAnsi="楷体" w:eastAsia="楷体_GB2312"/>
          <w:color w:val="auto"/>
        </w:rPr>
        <w:t>辛甘发散为阳，故多功于头面。血和则去旧生新，经调而挛痹自解。长肉排脓者，以其为血中气药也。抚芎之止利开郁，亦上升辛散之力。</w:t>
      </w:r>
    </w:p>
    <w:p>
      <w:pPr>
        <w:rPr>
          <w:rFonts w:ascii="楷体_GB2312" w:hAnsi="楷体" w:eastAsia="楷体_GB2312"/>
          <w:color w:val="auto"/>
        </w:rPr>
      </w:pPr>
      <w:r>
        <w:rPr>
          <w:rFonts w:hint="eastAsia" w:ascii="楷体_GB2312" w:hAnsi="楷体" w:eastAsia="楷体_GB2312"/>
          <w:color w:val="auto"/>
        </w:rPr>
        <w:t xml:space="preserve">    按：芎</w:t>
      </w:r>
      <w:r>
        <w:rPr>
          <w:rFonts w:hint="eastAsia" w:ascii="楷体_GB2312" w:hAnsi="宋体" w:cs="宋体"/>
          <w:color w:val="auto"/>
        </w:rPr>
        <w:t></w:t>
      </w:r>
      <w:r>
        <w:rPr>
          <w:rFonts w:hint="eastAsia" w:ascii="楷体_GB2312" w:hAnsi="楷体" w:eastAsia="楷体_GB2312"/>
          <w:color w:val="auto"/>
        </w:rPr>
        <w:t>性阳味辛，凡虚火上炎，呕吐咳逆者，忌之。《衍义》云：久服令人暴亡。为其辛喜归肺，肺气偏胜，金来贼木，肺必受侮，久则偏绝耳。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……</w:t>
      </w:r>
    </w:p>
    <w:p>
      <w:pPr>
        <w:rPr>
          <w:color w:val="auto"/>
        </w:rPr>
      </w:pPr>
      <w:bookmarkStart w:id="4" w:name="_Toc270661873"/>
      <w:r>
        <w:rPr>
          <w:rStyle w:val="7"/>
          <w:rFonts w:hint="eastAsia"/>
          <w:color w:val="auto"/>
        </w:rPr>
        <w:t>沙参</w:t>
      </w:r>
      <w:bookmarkEnd w:id="4"/>
      <w:r>
        <w:rPr>
          <w:rFonts w:hint="eastAsia" w:ascii="楷体_GB2312" w:hAnsi="楷体" w:eastAsia="楷体_GB2312"/>
          <w:color w:val="auto"/>
        </w:rPr>
        <w:t>(味苦，微寒，无毒，入肺经。恶防己，反藜芦)</w:t>
      </w:r>
      <w:r>
        <w:rPr>
          <w:rFonts w:hint="eastAsia" w:ascii="楷体" w:hAnsi="楷体" w:eastAsia="楷体"/>
          <w:color w:val="auto"/>
        </w:rPr>
        <w:t xml:space="preserve">  </w:t>
      </w:r>
      <w:r>
        <w:rPr>
          <w:rFonts w:hint="eastAsia"/>
          <w:color w:val="auto"/>
        </w:rPr>
        <w:t>主寒热咳嗽，胸痹头痛。定心内惊烦，退皮间邪热。</w:t>
      </w:r>
    </w:p>
    <w:p>
      <w:pPr>
        <w:rPr>
          <w:rFonts w:ascii="楷体_GB2312" w:hAnsi="楷体" w:eastAsia="楷体_GB2312"/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楷体_GB2312" w:hAnsi="楷体" w:eastAsia="楷体_GB2312"/>
          <w:color w:val="auto"/>
        </w:rPr>
        <w:t>气轻力薄，非肩弘任大之品也。人参甘温体重，专益肺气，补阳而生阴；沙参甘寒体轻，专清肺热，补阴而制阳。</w:t>
      </w:r>
    </w:p>
    <w:p>
      <w:pPr>
        <w:rPr>
          <w:rFonts w:ascii="楷体_GB2312" w:hAnsi="楷体" w:eastAsia="楷体_GB2312"/>
          <w:color w:val="auto"/>
        </w:rPr>
      </w:pPr>
      <w:r>
        <w:rPr>
          <w:rFonts w:hint="eastAsia" w:ascii="楷体_GB2312" w:hAnsi="楷体" w:eastAsia="楷体_GB2312"/>
          <w:color w:val="auto"/>
        </w:rPr>
        <w:t xml:space="preserve">    按：沙参性寒，藏府无实热及寒客肺经而嗽者，勿服。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……</w:t>
      </w:r>
    </w:p>
    <w:p>
      <w:pPr>
        <w:rPr>
          <w:color w:val="auto"/>
        </w:rPr>
      </w:pPr>
      <w:bookmarkStart w:id="5" w:name="_Toc270661892"/>
      <w:r>
        <w:rPr>
          <w:rStyle w:val="7"/>
          <w:rFonts w:hint="eastAsia"/>
          <w:color w:val="auto"/>
        </w:rPr>
        <w:t>升麻</w:t>
      </w:r>
      <w:bookmarkEnd w:id="5"/>
      <w:r>
        <w:rPr>
          <w:rFonts w:hint="eastAsia" w:ascii="楷体_GB2312" w:hAnsi="楷体_GB2312" w:eastAsia="楷体_GB2312"/>
          <w:color w:val="auto"/>
        </w:rPr>
        <w:t xml:space="preserve">(味甘苦，平，无毒，入肺胃脾大肠四经。青色者佳。忌火) </w:t>
      </w:r>
      <w:r>
        <w:rPr>
          <w:rFonts w:hint="eastAsia"/>
          <w:color w:val="auto"/>
        </w:rPr>
        <w:t xml:space="preserve"> 解百毒，杀精鬼，辟疫瘴，止喉疼头痛齿痛，口疮癍疹。散阳明风邪，升胃中清气。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楷体_GB2312" w:hAnsi="楷体_GB2312" w:eastAsia="楷体_GB2312"/>
          <w:color w:val="auto"/>
        </w:rPr>
        <w:t>禀极清之气，升于九天，得阳气之全者也，故杀鬼辟邪。头喉口齿，皆在高巅之上；风邪癍疹，皆在清阳之分，总获其升清之益。凡气虚下陷，如泻痢、崩淋、脱肛、遗浊，须其升提。虚人之气，升少降多。《内经》曰：阴精所奉其人寿，阳精所降其人夭。东垣取入补中汤，独窥其微矣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 w:ascii="楷体_GB2312" w:hAnsi="楷体_GB2312" w:eastAsia="楷体_GB2312"/>
          <w:color w:val="auto"/>
        </w:rPr>
        <w:t xml:space="preserve">    按：升麻属阳性升，凡吐血、鼻衄，咳嗽多痰，阴虚火动，气逆呕吐，怔忡癫狂，切勿误投。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……</w:t>
      </w:r>
    </w:p>
    <w:p>
      <w:pPr>
        <w:rPr>
          <w:color w:val="auto"/>
        </w:rPr>
      </w:pPr>
      <w:bookmarkStart w:id="6" w:name="_Toc270661895"/>
      <w:r>
        <w:rPr>
          <w:rStyle w:val="7"/>
          <w:rFonts w:hint="eastAsia"/>
          <w:color w:val="auto"/>
        </w:rPr>
        <w:t>独活</w:t>
      </w:r>
      <w:bookmarkEnd w:id="6"/>
      <w:r>
        <w:rPr>
          <w:rFonts w:hint="eastAsia" w:ascii="楷体_GB2312" w:hAnsi="楷体_GB2312" w:eastAsia="楷体_GB2312"/>
          <w:color w:val="auto"/>
        </w:rPr>
        <w:t>(味苦甘，平，无毒，入小肠膀胱肝肾四经)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hint="eastAsia"/>
          <w:color w:val="auto"/>
        </w:rPr>
        <w:t xml:space="preserve"> 风寒湿痹，筋骨挛疼，头旋掉眩，颈项难伸。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楷体_GB2312" w:hAnsi="楷体_GB2312" w:eastAsia="楷体_GB2312"/>
          <w:color w:val="auto"/>
        </w:rPr>
        <w:t>本入手足太阳表里引经，又入足少阴厥阴，小无不入，大无不通，故既散八风之邪，兼利百节之痛。时珍曰：独活羌活，乃一类二种。中国者为独活，色黄而细，可理伏风；西羌者为羌活，色紫气雄，可理游风。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 w:ascii="楷体_GB2312" w:hAnsi="楷体_GB2312" w:eastAsia="楷体_GB2312"/>
          <w:color w:val="auto"/>
        </w:rPr>
        <w:t xml:space="preserve">    按：独活羌活，皆主风痰，若血虚头痛，及遍身肢节痛，误用风药，反致增剧。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</w:t>
      </w:r>
      <w:bookmarkStart w:id="7" w:name="_Toc270661896"/>
      <w:r>
        <w:rPr>
          <w:rStyle w:val="7"/>
          <w:rFonts w:hint="eastAsia"/>
          <w:color w:val="auto"/>
        </w:rPr>
        <w:t>细辛</w:t>
      </w:r>
      <w:bookmarkEnd w:id="7"/>
      <w:r>
        <w:rPr>
          <w:rFonts w:hint="eastAsia" w:ascii="楷体_GB2312" w:hAnsi="楷体_GB2312" w:eastAsia="楷体_GB2312"/>
          <w:color w:val="auto"/>
        </w:rPr>
        <w:t>(味辛温，无毒，入心小肠二经。恶黄芪、山茱萸，畏滑石，反藜芦)</w:t>
      </w:r>
      <w:r>
        <w:rPr>
          <w:rFonts w:hint="eastAsia"/>
          <w:color w:val="auto"/>
        </w:rPr>
        <w:t xml:space="preserve">  风寒湿痹，头痛鼻塞，下气破痰，头面游风，百节拘挛，齿疼目泪。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楷体_GB2312" w:hAnsi="楷体_GB2312" w:eastAsia="楷体_GB2312"/>
          <w:color w:val="auto"/>
        </w:rPr>
        <w:t>味辛性温，禀升阳之气而为风剂，辛香开窍，故主疗如上。单服末至一钱，令人闷绝，辛药不可多用也。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 w:ascii="楷体_GB2312" w:hAnsi="楷体_GB2312" w:eastAsia="楷体_GB2312"/>
          <w:color w:val="auto"/>
        </w:rPr>
        <w:t xml:space="preserve">    按：细辛燥烈，凡血虚内热，因成头痛咳嗽者，痛戒之。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……</w:t>
      </w:r>
    </w:p>
    <w:p>
      <w:pPr>
        <w:rPr>
          <w:color w:val="auto"/>
        </w:rPr>
      </w:pPr>
      <w:bookmarkStart w:id="8" w:name="_Toc270661902"/>
      <w:r>
        <w:rPr>
          <w:rStyle w:val="7"/>
          <w:rFonts w:hint="eastAsia"/>
          <w:color w:val="auto"/>
        </w:rPr>
        <w:t>干葛</w:t>
      </w:r>
      <w:bookmarkEnd w:id="8"/>
      <w:r>
        <w:rPr>
          <w:rFonts w:hint="eastAsia" w:ascii="楷体_GB2312" w:hAnsi="楷体_GB2312" w:eastAsia="楷体_GB2312"/>
          <w:color w:val="auto"/>
        </w:rPr>
        <w:t>(味甘平，无毒，入胃经)</w:t>
      </w:r>
      <w:r>
        <w:rPr>
          <w:rFonts w:hint="eastAsia"/>
          <w:color w:val="auto"/>
        </w:rPr>
        <w:t xml:space="preserve">  主消渴大热，呕吐头痛。生用能堕胎，蒸熟化酒毒。止血痢，散郁火。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楷体_GB2312" w:hAnsi="楷体_GB2312" w:eastAsia="楷体_GB2312"/>
          <w:color w:val="auto"/>
        </w:rPr>
        <w:t>迹其治验，皆在阳明一经。止痢者，升举之功；散郁者，火郁则发之义也。仲景治太阳阳明合病，桂枝加麻黄、葛根；又有葛根芩连解肌汤，用以断太阳入阳明之路，非即太阳药也。头痛乃阳明中风，宜葛根葱白汤。若太阳初病，未入阳明而头痛者，不可便服以发之，是引贼入家也。东垣曰：葛根鼓舞胃气上行，治虚泻之圣药。风药多燥，葛根独止渴者，以其升胃家下陷，上输肺金以生水耳。</w:t>
      </w:r>
    </w:p>
    <w:p>
      <w:pPr>
        <w:rPr>
          <w:rFonts w:ascii="楷体" w:hAnsi="楷体" w:eastAsia="楷体"/>
          <w:color w:val="auto"/>
        </w:rPr>
      </w:pPr>
      <w:r>
        <w:rPr>
          <w:rFonts w:hint="eastAsia" w:ascii="楷体_GB2312" w:hAnsi="楷体_GB2312" w:eastAsia="楷体_GB2312"/>
          <w:color w:val="auto"/>
        </w:rPr>
        <w:t xml:space="preserve">    按：上盛下虚之人，虽有脾胃病，亦不宜服。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……</w:t>
      </w:r>
    </w:p>
    <w:p>
      <w:pPr>
        <w:rPr>
          <w:color w:val="auto"/>
        </w:rPr>
      </w:pPr>
      <w:bookmarkStart w:id="9" w:name="_Toc270661904"/>
      <w:r>
        <w:rPr>
          <w:rStyle w:val="7"/>
          <w:rFonts w:hint="eastAsia"/>
          <w:color w:val="auto"/>
        </w:rPr>
        <w:t>白芷</w:t>
      </w:r>
      <w:bookmarkEnd w:id="9"/>
      <w:r>
        <w:rPr>
          <w:rFonts w:hint="eastAsia" w:ascii="楷体_GB2312" w:hAnsi="楷体_GB2312" w:eastAsia="楷体_GB2312"/>
          <w:color w:val="auto"/>
        </w:rPr>
        <w:t>(味辛，温，无毒，入肺胃大肠三经。当归为使，恶旋覆花，微焙)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hint="eastAsia"/>
          <w:color w:val="auto"/>
        </w:rPr>
        <w:t xml:space="preserve"> 头风目泪，齿痛眉疼，肌肤搔痒，呕吐不宁。女人赤白带下，疮家止痛排脓。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="楷体" w:hAnsi="楷体" w:eastAsia="楷体"/>
          <w:color w:val="auto"/>
        </w:rPr>
        <w:t xml:space="preserve"> </w:t>
      </w:r>
      <w:r>
        <w:rPr>
          <w:rFonts w:hint="eastAsia" w:ascii="楷体_GB2312" w:hAnsi="楷体_GB2312" w:eastAsia="楷体_GB2312"/>
          <w:color w:val="auto"/>
        </w:rPr>
        <w:t>色白味辛，行手阳明庚金；性温气厚，行足阳明戊土，芳香上达，入乎太阴辛金。肺者庚之弟、戊之子也，故主治不离三经。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 w:ascii="楷体_GB2312" w:hAnsi="楷体_GB2312" w:eastAsia="楷体_GB2312"/>
          <w:color w:val="auto"/>
        </w:rPr>
        <w:t xml:space="preserve">    按：白芷燥能耗血散能损气，有虚火者勿用。痈疽已溃，宜渐减之。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</w:t>
      </w:r>
      <w:bookmarkStart w:id="10" w:name="_Toc270661905"/>
      <w:r>
        <w:rPr>
          <w:rStyle w:val="7"/>
          <w:rFonts w:hint="eastAsia"/>
          <w:color w:val="auto"/>
        </w:rPr>
        <w:t>藁本</w:t>
      </w:r>
      <w:bookmarkEnd w:id="10"/>
      <w:r>
        <w:rPr>
          <w:rFonts w:hint="eastAsia" w:ascii="楷体_GB2312" w:hAnsi="楷体_GB2312" w:eastAsia="楷体_GB2312"/>
          <w:color w:val="auto"/>
        </w:rPr>
        <w:t xml:space="preserve">(味辛，温，无毒，入膀胱经。恶䕡茹) </w:t>
      </w:r>
      <w:r>
        <w:rPr>
          <w:rFonts w:hint="eastAsia"/>
          <w:color w:val="auto"/>
        </w:rPr>
        <w:t xml:space="preserve"> 风家巅顶作痛，女人阴肿疝疼。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楷体_GB2312" w:hAnsi="楷体_GB2312" w:eastAsia="楷体_GB2312"/>
          <w:color w:val="auto"/>
        </w:rPr>
        <w:t>辛温纯阳，独入太阳，理风寒疝瘕阴痛，皆太阳经寒湿为邪也。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 w:ascii="楷体_GB2312" w:hAnsi="楷体_GB2312" w:eastAsia="楷体_GB2312"/>
          <w:color w:val="auto"/>
        </w:rPr>
        <w:t xml:space="preserve">    按：头痛挟内热者，及伤寒发于春夏阳证头痛，不宜进也。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 </w:t>
      </w:r>
      <w:bookmarkStart w:id="11" w:name="_Toc270661906"/>
      <w:r>
        <w:rPr>
          <w:rStyle w:val="7"/>
          <w:rFonts w:hint="eastAsia"/>
          <w:color w:val="auto"/>
        </w:rPr>
        <w:t>天麻</w:t>
      </w:r>
      <w:bookmarkEnd w:id="11"/>
      <w:r>
        <w:rPr>
          <w:rFonts w:hint="eastAsia" w:ascii="楷体_GB2312" w:hAnsi="楷体_GB2312" w:eastAsia="楷体_GB2312"/>
          <w:color w:val="auto"/>
        </w:rPr>
        <w:t xml:space="preserve">(味辛平，无毒，入肝经。酒浸煨熟焙干) </w:t>
      </w:r>
      <w:r>
        <w:rPr>
          <w:rFonts w:hint="eastAsia"/>
          <w:color w:val="auto"/>
        </w:rPr>
        <w:t xml:space="preserve"> 风虚眩运，麻痹不仁，语言蹇涩，腰膝软疼。杀精魅蛊毒，理惊气风痫。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="楷体_GB2312" w:hAnsi="楷体_GB2312" w:eastAsia="楷体_GB2312"/>
          <w:color w:val="auto"/>
        </w:rPr>
        <w:t xml:space="preserve"> 肝为风木之藏，藏血主筋，独入肝经，故主治如上。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 w:ascii="楷体_GB2312" w:hAnsi="楷体_GB2312" w:eastAsia="楷体_GB2312"/>
          <w:color w:val="auto"/>
        </w:rPr>
        <w:t xml:space="preserve">    按：天麻虽不甚燥，毕竟风剂助火，若血虚无风者，不可妄投。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……</w:t>
      </w:r>
    </w:p>
    <w:p>
      <w:pPr>
        <w:rPr>
          <w:color w:val="auto"/>
        </w:rPr>
      </w:pPr>
      <w:bookmarkStart w:id="12" w:name="_Toc270661934"/>
      <w:r>
        <w:rPr>
          <w:rStyle w:val="7"/>
          <w:rFonts w:hint="eastAsia"/>
          <w:color w:val="auto"/>
        </w:rPr>
        <w:t>半夏</w:t>
      </w:r>
      <w:bookmarkEnd w:id="12"/>
      <w:r>
        <w:rPr>
          <w:rFonts w:hint="eastAsia" w:ascii="楷体_GB2312" w:hAnsi="楷体_GB2312" w:eastAsia="楷体_GB2312"/>
          <w:color w:val="auto"/>
        </w:rPr>
        <w:t xml:space="preserve">(味辛，温，有毒，入心脾胃三经。柴胡为使。恶皂荚，畏雄黄、姜、鳖甲，反鸟头，忌羊血、海藻、饴糖。水浸五日，每日换水去帽，姜矾同煮，汁干为度)  </w:t>
      </w:r>
      <w:r>
        <w:rPr>
          <w:rFonts w:hint="eastAsia"/>
          <w:color w:val="auto"/>
        </w:rPr>
        <w:t>消痰燥湿，开胃健脾，咳逆呕吐，头眩昏迷，痰厥头痛，心下满坚，消痈可也，堕胎有焉。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 w:ascii="楷体_GB2312" w:hAnsi="楷体_GB2312" w:eastAsia="楷体_GB2312"/>
          <w:color w:val="auto"/>
        </w:rPr>
        <w:t>汪机曰：脾胃湿热，涎化为痰，此非半夏，曷可治乎？若以贝母代之，翘首待毙。时珍曰：脾无湿不生痰，故脾为生痰之源，肺为贮痰之器。半夏治痰，为其体滑辛温也。涎滑能润，辛温能散亦能润，故行湿而通大便，利窍而泄小便。所谓辛走气，能化液，辛以润之是已。丹溪谓：半夏能使大便润而小便长。成无己谓：半夏行水气而润肾燥，《局方》半硫丸治老人虚秘，皆取其滑润也。俗以半夏为燥，不知湿去则土燥，痰涎不生，非其性燥也。但恐非湿热之邪而用之，是重竭其津液，诚非所宜。</w:t>
      </w:r>
    </w:p>
    <w:p>
      <w:pPr>
        <w:rPr>
          <w:rFonts w:ascii="楷体_GB2312" w:hAnsi="楷体_GB2312" w:eastAsia="楷体_GB2312"/>
          <w:color w:val="auto"/>
        </w:rPr>
      </w:pPr>
      <w:r>
        <w:rPr>
          <w:rFonts w:hint="eastAsia" w:ascii="楷体_GB2312" w:hAnsi="楷体_GB2312" w:eastAsia="楷体_GB2312"/>
          <w:color w:val="auto"/>
        </w:rPr>
        <w:t xml:space="preserve">    按：半夏主治最多，莫非脾浸之证，苟非湿者，均在禁例。古人半夏有三禁：谓血家、渴家、汗家也。若无脾湿，且有肺燥，误服半夏，悔不可追。责在司命，谨诸戒诸！</w:t>
      </w:r>
    </w:p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90A19"/>
    <w:rsid w:val="1B090A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4 Char"/>
    <w:basedOn w:val="5"/>
    <w:link w:val="8"/>
    <w:qFormat/>
    <w:uiPriority w:val="0"/>
    <w:rPr>
      <w:rFonts w:eastAsia="黑体" w:cs="宋体"/>
      <w:b/>
      <w:bCs/>
      <w:color w:val="008000"/>
    </w:rPr>
  </w:style>
  <w:style w:type="paragraph" w:customStyle="1" w:styleId="8">
    <w:name w:val="标题4"/>
    <w:basedOn w:val="1"/>
    <w:link w:val="7"/>
    <w:qFormat/>
    <w:uiPriority w:val="0"/>
    <w:pPr>
      <w:ind w:firstLine="413" w:firstLineChars="196"/>
      <w:jc w:val="left"/>
      <w:outlineLvl w:val="3"/>
    </w:pPr>
    <w:rPr>
      <w:rFonts w:eastAsia="黑体" w:cs="宋体"/>
      <w:b/>
      <w:bCs/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2017-02-05T03:12:00Z</dcterms:created>
  <dc:creator>Administrator</dc:creator>
  <cp:lastModifiedBy>Administrator</cp:lastModifiedBy>
  <dcterms:modified xsi:type="dcterms:W3CDTF">2017-02-05T03:13:00Z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