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89752"/>
      <w:r>
        <w:rPr>
          <w:rFonts w:hint="eastAsia"/>
        </w:rPr>
        <w:t>杂</w:t>
      </w:r>
      <w:bookmarkStart w:id="1" w:name="Bookmark1237"/>
      <w:bookmarkEnd w:id="1"/>
      <w:r>
        <w:rPr>
          <w:rFonts w:hint="eastAsia"/>
        </w:rPr>
        <w:t>症大小合参卷十五</w:t>
      </w:r>
      <w:bookmarkEnd w:id="0"/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锦囊删润脉诀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风寒暑湿，气郁生涎，下虚上实，皆晕而眩，风浮寒紧，湿细暑虚，涎弦而滑，虚脉则无，治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法，尤当审谛，先理痰气，次随症治。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……</w:t>
      </w:r>
    </w:p>
    <w:p>
      <w:pPr>
        <w:rPr>
          <w:sz w:val="18"/>
          <w:szCs w:val="18"/>
        </w:rPr>
      </w:pP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阳弦，浮风紧寒，风热洪数，湿细而坚，气虚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，虽弦必涩，痰厥则滑，肾厥坚实。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022BF"/>
    <w:rsid w:val="069022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2017-02-05T02:37:00Z</dcterms:created>
  <dc:creator>Administrator</dc:creator>
  <cp:lastModifiedBy>Administrator</cp:lastModifiedBy>
  <dcterms:modified xsi:type="dcterms:W3CDTF">2017-02-05T02:38:03Z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