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line="415" w:lineRule="auto"/>
        <w:rPr>
          <w:rFonts w:ascii="宋体" w:hAnsi="宋体"/>
        </w:rPr>
      </w:pPr>
      <w:bookmarkStart w:id="0" w:name="_Toc428772528"/>
      <w:r>
        <w:rPr>
          <w:rFonts w:hint="eastAsia" w:ascii="宋体" w:hAnsi="宋体"/>
        </w:rPr>
        <w:t>卷之三</w:t>
      </w:r>
      <w:bookmarkEnd w:id="0"/>
    </w:p>
    <w:p>
      <w:pPr>
        <w:pStyle w:val="3"/>
        <w:jc w:val="center"/>
        <w:rPr>
          <w:rFonts w:ascii="宋体" w:hAnsi="宋体"/>
          <w:sz w:val="28"/>
        </w:rPr>
      </w:pPr>
      <w:bookmarkStart w:id="1" w:name="_Toc428772536"/>
      <w:r>
        <w:rPr>
          <w:rFonts w:hint="eastAsia" w:ascii="宋体" w:hAnsi="宋体"/>
          <w:sz w:val="28"/>
        </w:rPr>
        <w:t>奇病论</w:t>
      </w:r>
      <w:bookmarkEnd w:id="1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帝曰∶人有病头痛，以数岁不已，此安得之？名为何病？岐伯曰∶当有所犯大寒，内至骨髓，髓者以脑为主，脑逆，故令头痛，齿亦痛，病名曰厥逆。帝曰∶善！（按∶脑为髓之海，而脑实在头之中。大寒入骨髓，则寒邪之气，由标及本，上逆于脑而头为之痛矣。齿者骨之余，寒入骨，故亦痛。齿寒亦痛，宜用桂、附、细辛，乃世尽以为火，而治之以寒凉者，误矣。）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pStyle w:val="3"/>
        <w:jc w:val="center"/>
        <w:rPr>
          <w:rFonts w:ascii="宋体" w:hAnsi="宋体"/>
          <w:sz w:val="28"/>
        </w:rPr>
      </w:pPr>
      <w:bookmarkStart w:id="2" w:name="_Toc428772540"/>
      <w:r>
        <w:rPr>
          <w:rFonts w:hint="eastAsia" w:ascii="宋体" w:hAnsi="宋体"/>
          <w:sz w:val="28"/>
        </w:rPr>
        <w:t>风论</w:t>
      </w:r>
      <w:bookmarkEnd w:id="2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首风之状，头面多汗恶风，当先风一日则病甚，头痛不可以出内，至其风日，则病少愈。（头者诸阳之会，风客之则皮腠疏，故头面多汗也。按∶先风一日，谓风初入首而证尚未见之时也。风之感人，人不即觉，忽然头痛。及至汗出面浮，方识是风，而痛旋缓。所以然者，风内入则甚，外达则衰，自然之理也。）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pStyle w:val="3"/>
        <w:jc w:val="center"/>
        <w:rPr>
          <w:rFonts w:ascii="宋体" w:hAnsi="宋体"/>
          <w:sz w:val="28"/>
        </w:rPr>
      </w:pPr>
      <w:bookmarkStart w:id="3" w:name="_Toc428772545"/>
      <w:r>
        <w:rPr>
          <w:rFonts w:hint="eastAsia" w:ascii="宋体" w:hAnsi="宋体"/>
          <w:sz w:val="28"/>
        </w:rPr>
        <w:t>通评虚实论</w:t>
      </w:r>
      <w:bookmarkEnd w:id="3"/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头痛耳鸣，九窍不利，肠胃之所生也。（足之三阳，从头走足，然久厥逆而不下行，则气怫积于上焦，故为黄胆暴痛癫狂气逆矣。食饮失宜，吐利过节，故六腑闭塞而令五脏之气不和平也。肠胃痞塞则气不顺序，气不顺序则上下中外互相胜负，故头痛耳鸣，九窍不利也。按∶病有所自生，治其所自生而病自已。阴阳应象大论曰∶“治病者必求于本。”正此谓也。）</w:t>
      </w:r>
    </w:p>
    <w:p>
      <w:pPr>
        <w:ind w:firstLine="480" w:firstLineChars="200"/>
        <w:rPr>
          <w:rFonts w:ascii="宋体" w:hAnsi="宋体"/>
          <w:sz w:val="24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351E7"/>
    <w:rsid w:val="689351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2017-02-05T01:57:00Z</dcterms:created>
  <dc:creator>Administrator</dc:creator>
  <cp:lastModifiedBy>Administrator</cp:lastModifiedBy>
  <dcterms:modified xsi:type="dcterms:W3CDTF">2017-02-05T01:57:45Z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