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</w:rPr>
      </w:pPr>
      <w:bookmarkStart w:id="0" w:name="_Toc428772559"/>
      <w:r>
        <w:rPr>
          <w:rFonts w:hint="eastAsia" w:ascii="宋体" w:hAnsi="宋体"/>
        </w:rPr>
        <w:t>卷之五</w:t>
      </w:r>
      <w:bookmarkEnd w:id="0"/>
    </w:p>
    <w:p>
      <w:pPr>
        <w:pStyle w:val="3"/>
        <w:jc w:val="center"/>
        <w:rPr>
          <w:rFonts w:ascii="宋体" w:hAnsi="宋体"/>
          <w:sz w:val="28"/>
        </w:rPr>
      </w:pPr>
      <w:bookmarkStart w:id="1" w:name="_Toc428772561"/>
      <w:r>
        <w:rPr>
          <w:rFonts w:hint="eastAsia" w:ascii="宋体" w:hAnsi="宋体"/>
          <w:sz w:val="28"/>
        </w:rPr>
        <w:t>至真要大论</w:t>
      </w:r>
      <w:bookmarkEnd w:id="1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岐伯曰∶厥阴之胜，耳鸣头眩，愦愦欲吐，胃鬲如寒，大风数举，倮虫不滋，胠胁气并，化而为热，小便黄赤，胃脘当心而痛，上支两胁，肠鸣飧泄，少腹痛，注下赤白，甚则呕吐，鬲咽不通。</w:t>
      </w:r>
    </w:p>
    <w:p>
      <w:pPr>
        <w:ind w:firstLine="420" w:firstLineChars="200"/>
      </w:pPr>
      <w:r>
        <w:rPr>
          <w:rFonts w:hint="eastAsia"/>
        </w:rPr>
        <w:t>……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阳明之复，清气大举，森木苍干，毛虫乃厉，病生胠胁，气归于左，善太息，甚则心痛痞满，腹胀而泄，呕吐咳哕烦心，病在鬲中，头痛，甚则入肝，惊咳筋挛。（“阳明燥金之复，故清气大举。森木苍干，毛虫乃厉，金克木也。病生胠胁，气归于左，肝木伤也。金气盛则木郁火衰而阳气不达，故善太息。甚则心痛痞满，腹胀而泄，呕吐咳哕烦心，清邪在中也。头痛者，阴寒外束，热聚于经也。金强侮肝，故为惊骇筋挛之病。”）太冲绝，死不治。（“太冲，肝经穴也。”）太阳之复，厥气上行，水凝雨冰，羽虫乃死，心胃生寒，胸中不利，心痛痞满，头痛善悲，时眩仆食减，腰脽反痛，屈伸不便，地裂冰坚，阳光不治，少腹控睾，引腰脊，上冲心，唾出清水，及为哕噫，甚则入心，善忘善悲。（“太阳寒水之复，其气上行，则水凝雨冰。羽虫属火，水盛乃死也。其病心胃生寒，故胸中不利也。心痛痞满，寒在鬲间也。头痛善悲，寒并于上而阳神虚也。时眩仆食减，清阳失位而胃中寒也。腰脽反痛，屈伸不便，寒归水脏而连及于太阳经也。地裂冰坚，阳光不治，水令行也。少腹控睾，引腰脊，上冲于心，寒客三阴，上侵君火也。唾出清水，及为哕噫，寒水侮土，胃脘无阳也。寒甚者必乘心，心藏神，神不足则善忘善悲也。脽音谁。”）</w:t>
      </w:r>
    </w:p>
    <w:p>
      <w:pPr>
        <w:ind w:firstLine="420" w:firstLineChars="200"/>
      </w:pPr>
      <w:r>
        <w:rPr>
          <w:rFonts w:hint="eastAsia"/>
        </w:rPr>
        <w:t>……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帝曰∶其生病何如？岐伯曰∶厥阴司天，客胜则耳鸣掉眩，甚则咳；主胜则胸胁痛，舌难以言。（“初气终三气，天气主之也。巳亥年厥阴司天，以风木之客，而加于厥阴少阴少阳之主。若客胜则木气上动而风邪盛，故耳鸣掉眩，甚则为咳。若主胜则火挟木邪，在相火则胸胁痛，心包所居也；在君火则舌难言，心开窍于舌也。”）少阴司天，客胜则鼽嚏，颈项强，肩背瞀热，头痛，少气发热，耳聋目瞑，甚则胕肿血溢，疮疡咳喘；主胜则心热烦躁，甚则胁痛支满。</w:t>
      </w:r>
    </w:p>
    <w:p>
      <w:pPr>
        <w:ind w:firstLine="420" w:firstLineChars="200"/>
      </w:pPr>
      <w:r>
        <w:rPr>
          <w:rFonts w:hint="eastAsia"/>
        </w:rPr>
        <w:t>……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即如诸风掉眩皆属于肝矣，若木胜则四肢强直而为掉，风动于上而为眩，脾土受邪，肝之实也；木衰则血不养筋而为掉，气虚于上而为眩，金邪乘木，肝之虚也。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帝曰∶愿闻病机何如？岐伯曰∶诸风掉眩，皆属于肝。（按∶张景岳曰∶“风类不一，故曰诸风。掉，摇也。眩，运也。风主动摇，木之化也，故属于肝。其虚其实，皆能致此。如发生之纪，其动掉眩巅疾，厥阴之复，筋骨掉眩之类者，肝之实也。又如阳明司天，掉振鼓栗，筋痿不能久立者，燥金之盛，肝受邪也。太阴之复，头顶痛重而掉瘛尤甚者，木不制土，湿气反胜，皆肝之虚也。故卫气篇曰∶‘下虚则厥，上虚则眩。’亦此之谓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30C0"/>
    <w:rsid w:val="68A130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2017-02-05T01:58:00Z</dcterms:created>
  <dc:creator>Administrator</dc:creator>
  <cp:lastModifiedBy>Administrator</cp:lastModifiedBy>
  <dcterms:modified xsi:type="dcterms:W3CDTF">2017-02-05T01:58:10Z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