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黑体"/>
        </w:rPr>
      </w:pPr>
      <w:bookmarkStart w:id="0" w:name="_Toc269893431"/>
      <w:r>
        <w:rPr>
          <w:rFonts w:hint="eastAsia" w:eastAsia="黑体"/>
        </w:rPr>
        <w:t>卷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>四</w:t>
      </w:r>
      <w:bookmarkEnd w:id="0"/>
    </w:p>
    <w:p>
      <w:pPr>
        <w:pStyle w:val="3"/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612140</wp:posOffset>
            </wp:positionV>
            <wp:extent cx="809625" cy="1754505"/>
            <wp:effectExtent l="0" t="0" r="9525" b="17145"/>
            <wp:wrapSquare wrapText="bothSides"/>
            <wp:docPr id="22" name="图片 22" descr="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Toc269893432"/>
      <w:r>
        <w:rPr>
          <w:rFonts w:hint="eastAsia"/>
        </w:rPr>
        <w:t>谷</w:t>
      </w:r>
      <w:r>
        <w:t xml:space="preserve"> </w:t>
      </w:r>
      <w:r>
        <w:rPr>
          <w:rFonts w:hint="eastAsia"/>
        </w:rPr>
        <w:t>菜</w:t>
      </w:r>
      <w:r>
        <w:t xml:space="preserve"> </w:t>
      </w:r>
      <w:r>
        <w:rPr>
          <w:rFonts w:hint="eastAsia"/>
        </w:rPr>
        <w:t>部</w:t>
      </w:r>
      <w:bookmarkEnd w:id="1"/>
    </w:p>
    <w:p>
      <w:pPr>
        <w:pStyle w:val="4"/>
      </w:pPr>
      <w:bookmarkStart w:id="2" w:name="_Toc269893469"/>
      <w:r>
        <w:rPr>
          <w:rFonts w:hint="eastAsia"/>
        </w:rPr>
        <w:t>甜</w:t>
      </w:r>
      <w:r>
        <w:t xml:space="preserve"> </w:t>
      </w:r>
      <w:r>
        <w:rPr>
          <w:rFonts w:hint="eastAsia"/>
        </w:rPr>
        <w:t>瓜</w:t>
      </w:r>
      <w:r>
        <w:t xml:space="preserve"> </w:t>
      </w:r>
      <w:r>
        <w:rPr>
          <w:rFonts w:hint="eastAsia"/>
        </w:rPr>
        <w:t>蒂</w:t>
      </w:r>
      <w:bookmarkEnd w:id="2"/>
    </w:p>
    <w:p>
      <w:pPr>
        <w:ind w:firstLine="420" w:firstLineChars="200"/>
        <w:rPr>
          <w:rFonts w:ascii="宋体" w:hAnsi="宋体"/>
          <w:szCs w:val="21"/>
        </w:rPr>
      </w:pPr>
      <w:bookmarkStart w:id="3" w:name="_GoBack"/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69215</wp:posOffset>
            </wp:positionV>
            <wp:extent cx="1028700" cy="1416685"/>
            <wp:effectExtent l="0" t="0" r="0" b="12065"/>
            <wp:wrapSquare wrapText="bothSides"/>
            <wp:docPr id="23" name="图片 23" descr="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  <w:r>
        <w:rPr>
          <w:rFonts w:hint="eastAsia" w:ascii="宋体" w:hAnsi="宋体"/>
          <w:szCs w:val="21"/>
        </w:rPr>
        <w:t>宣，涌，吐。与淡豆豉、赤小豆，并为吐药。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苦寒。阳明(</w:t>
      </w:r>
      <w:r>
        <w:rPr>
          <w:rFonts w:hint="eastAsia" w:ascii="楷体_GB2312" w:hAnsi="楷体_GB2312" w:eastAsia="楷体_GB2312"/>
          <w:szCs w:val="21"/>
        </w:rPr>
        <w:t>胃</w:t>
      </w:r>
      <w:r>
        <w:rPr>
          <w:rFonts w:hint="eastAsia" w:ascii="宋体" w:hAnsi="宋体"/>
          <w:szCs w:val="21"/>
        </w:rPr>
        <w:t>)吐药，能吐风热痰涎，上膈宿食(</w:t>
      </w:r>
      <w:r>
        <w:rPr>
          <w:rFonts w:hint="eastAsia" w:ascii="楷体_GB2312" w:hAnsi="楷体_GB2312" w:eastAsia="楷体_GB2312"/>
          <w:szCs w:val="21"/>
        </w:rPr>
        <w:t>吐去上焦之邪，《经》所谓其高者因而越之；在上者涌之，木郁达之是也。越以瓜蒂、淡豉之苦，涌以赤小豆之酸，吐去上焦有形之物，则木得舒畅，天地交而万物通矣。当吐而胃弱者，代以参芦。朱丹溪曰：吐中就有发散之义。张子和曰：诸汗法，古方多有之，惟以吐发汗，世罕知之。故予尝曰：吐法兼汗以此夫。昂按：汗、吐、下、和，乃治疗之四法。仲景瓜蒂散、栀豉汤，并是吐药。子和治病，用吐尤多。丹溪治许白云，大吐二十余日，治小便不通，亦用吐法，甚至用四物、四君以引吐。成法具在，今人惟知汗、下、和，而吐法绝置不用。遏邪在上焦及当吐者，不行涌越，致结塞而成坏证。轻病致重，重病致死者多矣！时医皆弃古法，枉人性命，可痛也夫</w:t>
      </w:r>
      <w:r>
        <w:rPr>
          <w:rFonts w:hint="eastAsia" w:ascii="宋体" w:hAnsi="宋体"/>
          <w:szCs w:val="21"/>
        </w:rPr>
        <w:t>)。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治风眩头痛，懊</w:t>
      </w:r>
      <w:r>
        <w:rPr>
          <w:rFonts w:hint="eastAsia" w:ascii="MingLiU_HKSCS" w:hAnsi="MingLiU_HKSCS" w:cs="MingLiU_HKSCS" w:eastAsiaTheme="minorEastAsia"/>
          <w:szCs w:val="21"/>
        </w:rPr>
        <w:t></w:t>
      </w:r>
      <w:r>
        <w:rPr>
          <w:rFonts w:hint="eastAsia" w:ascii="宋体" w:hAnsi="宋体"/>
          <w:szCs w:val="21"/>
        </w:rPr>
        <w:t>不眠，癫痫喉痹，头目湿气，水肿黄疸(</w:t>
      </w:r>
      <w:r>
        <w:rPr>
          <w:rFonts w:hint="eastAsia" w:ascii="楷体_GB2312" w:hAnsi="楷体_GB2312" w:eastAsia="楷体_GB2312"/>
          <w:szCs w:val="21"/>
        </w:rPr>
        <w:t>或合赤小豆煎，或吹鼻中，取出黄水</w:t>
      </w:r>
      <w:r>
        <w:rPr>
          <w:rFonts w:hint="eastAsia" w:ascii="宋体" w:hAnsi="宋体"/>
          <w:szCs w:val="21"/>
        </w:rPr>
        <w:t>)，湿热诸病。上部无实邪者，禁用（</w:t>
      </w:r>
      <w:r>
        <w:rPr>
          <w:rFonts w:hint="eastAsia" w:ascii="楷体_GB2312" w:hAnsi="楷体_GB2312" w:eastAsia="楷体_GB2312"/>
          <w:szCs w:val="21"/>
        </w:rPr>
        <w:t>能损胃耗气，语曰：大吐亡阳，大下亡阴。凡取吐者，须天气清明，巳午以前，令病人隔夜勿食，卒病者不拘。《类编》云：一女子病</w:t>
      </w:r>
      <w:r>
        <w:rPr>
          <w:rFonts w:hint="eastAsia" w:ascii="楷体_GB2312" w:hAnsi="宋体"/>
          <w:szCs w:val="21"/>
        </w:rPr>
        <w:t>齁</w:t>
      </w:r>
      <w:r>
        <w:rPr>
          <w:rFonts w:hint="eastAsia" w:ascii="楷体_GB2312" w:hAnsi="楷体_GB2312" w:eastAsia="楷体_GB2312"/>
          <w:szCs w:val="21"/>
        </w:rPr>
        <w:t>喘不止，遇道人，教取瓜蒂七枚为末，调服其汁，即吐痰如胶粘，三进而病如扫)。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250B"/>
    <w:rsid w:val="41E825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2017-02-05T00:58:00Z</dcterms:created>
  <dc:creator>Administrator</dc:creator>
  <cp:lastModifiedBy>Administrator</cp:lastModifiedBy>
  <dcterms:modified xsi:type="dcterms:W3CDTF">2017-02-05T00:58:19Z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