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黑体"/>
        </w:rPr>
      </w:pPr>
      <w:bookmarkStart w:id="0" w:name="_Toc269893474"/>
      <w:r>
        <w:rPr>
          <w:rFonts w:hint="eastAsia" w:eastAsia="黑体"/>
        </w:rPr>
        <w:t>卷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>五</w:t>
      </w:r>
      <w:bookmarkEnd w:id="0"/>
    </w:p>
    <w:p>
      <w:pPr>
        <w:pStyle w:val="3"/>
      </w:pPr>
      <w:bookmarkStart w:id="1" w:name="_Toc269893475"/>
      <w:r>
        <w:rPr>
          <w:rFonts w:hint="eastAsia"/>
        </w:rPr>
        <w:t>金石水土部</w:t>
      </w:r>
      <w:bookmarkEnd w:id="1"/>
    </w:p>
    <w:p>
      <w:pPr>
        <w:pStyle w:val="4"/>
      </w:pPr>
      <w:bookmarkStart w:id="2" w:name="_Toc269893506"/>
      <w:r>
        <w:rPr>
          <w:rFonts w:hint="eastAsia"/>
        </w:rPr>
        <w:t>雄</w:t>
      </w:r>
      <w:r>
        <w:t xml:space="preserve">  </w:t>
      </w:r>
      <w:r>
        <w:rPr>
          <w:rFonts w:hint="eastAsia"/>
        </w:rPr>
        <w:t>黄</w:t>
      </w:r>
      <w:bookmarkEnd w:id="2"/>
    </w:p>
    <w:p>
      <w:pPr>
        <w:rPr>
          <w:rFonts w:ascii="宋体" w:hAnsi="宋体"/>
          <w:szCs w:val="21"/>
        </w:rPr>
      </w:pPr>
      <w:bookmarkStart w:id="4" w:name="_GoBack"/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113665</wp:posOffset>
            </wp:positionV>
            <wp:extent cx="876300" cy="1329055"/>
            <wp:effectExtent l="0" t="0" r="0" b="4445"/>
            <wp:wrapSquare wrapText="bothSides"/>
            <wp:docPr id="24" name="图片 24" descr="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4"/>
      <w:r>
        <w:rPr>
          <w:rFonts w:hint="eastAsia" w:ascii="宋体" w:hAnsi="宋体"/>
          <w:szCs w:val="21"/>
        </w:rPr>
        <w:t xml:space="preserve">    重，解毒，杀虫。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辛温有毒。得正阳之气，入肝经气分。搜肝强脾，散百节大风，杀百毒，辟鬼魅。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治惊痫痰涎，头痛眩运，暑疟澼痢，泄泻积聚(</w:t>
      </w:r>
      <w:r>
        <w:rPr>
          <w:rFonts w:hint="eastAsia" w:ascii="楷体_GB2312" w:hAnsi="楷体_GB2312" w:eastAsia="楷体_GB2312"/>
          <w:szCs w:val="21"/>
        </w:rPr>
        <w:t>虞雍公道中冒暑，泄痢连月，梦至仙居，延之坐，壁中有词云：暑害在脾，湿气连脚，不泄则痢，不痢则疟。独炼雄黄，蒸饼和药，甘草作汤，食之安乐。别作治疗。医家大错。如方及之遂愈</w:t>
      </w:r>
      <w:r>
        <w:rPr>
          <w:rFonts w:hint="eastAsia" w:ascii="宋体" w:hAnsi="宋体"/>
          <w:szCs w:val="21"/>
        </w:rPr>
        <w:t>)。又能化血为水，燥湿杀虫，治劳疳疮疥蛇伤。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赤似鸡冠，明彻不臭，重三五两者，良孕妇佩之，转女成男。醋浸，入莱菔汁煮，干用。生山阴者名雌黄，功用略同；劣者名熏黄，烧之则臭，只堪熏疮疥，杀虫虱。</w:t>
      </w:r>
    </w:p>
    <w:p>
      <w:pPr>
        <w:pStyle w:val="4"/>
        <w:rPr>
          <w:rFonts w:ascii="楷体_GB2312" w:hAnsi="楷体_GB2312" w:eastAsia="楷体_GB2312"/>
          <w:bCs w:val="0"/>
          <w:sz w:val="21"/>
        </w:rPr>
      </w:pPr>
      <w:bookmarkStart w:id="3" w:name="_Toc269893534"/>
      <w:r>
        <w:rPr>
          <w:rFonts w:hint="eastAsia"/>
        </w:rPr>
        <w:t>新</w:t>
      </w:r>
      <w:r>
        <w:t xml:space="preserve">  </w:t>
      </w:r>
      <w:r>
        <w:rPr>
          <w:rFonts w:hint="eastAsia"/>
        </w:rPr>
        <w:t>增</w:t>
      </w:r>
      <w:r>
        <w:rPr>
          <w:rFonts w:hint="eastAsia" w:ascii="楷体_GB2312" w:hAnsi="楷体_GB2312" w:eastAsia="楷体_GB2312"/>
          <w:bCs w:val="0"/>
          <w:sz w:val="21"/>
        </w:rPr>
        <w:t>(五种)</w:t>
      </w:r>
      <w:bookmarkEnd w:id="3"/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甘菊华露，清心明目，去头面风热，止眩晕。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13B62"/>
    <w:rsid w:val="6B213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2017-02-05T00:58:00Z</dcterms:created>
  <dc:creator>Administrator</dc:creator>
  <cp:lastModifiedBy>Administrator</cp:lastModifiedBy>
  <dcterms:modified xsi:type="dcterms:W3CDTF">2017-02-05T00:58:34Z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