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461965"/>
      <w:r>
        <w:rPr>
          <w:rFonts w:hint="eastAsia"/>
        </w:rPr>
        <w:t>第四节  潜镇之方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1" w:name="_Toc269461977"/>
      <w:r>
        <w:rPr>
          <w:rStyle w:val="6"/>
          <w:rFonts w:hint="eastAsia"/>
        </w:rPr>
        <w:t>薯蓣丸</w:t>
      </w:r>
      <w:bookmarkEnd w:id="1"/>
      <w:r>
        <w:rPr>
          <w:rFonts w:hint="eastAsia"/>
        </w:rPr>
        <w:t>(《</w:t>
      </w:r>
      <w:r>
        <w:rPr>
          <w:rFonts w:hint="eastAsia" w:ascii="楷体_GB2312" w:eastAsia="楷体_GB2312"/>
        </w:rPr>
        <w:t>本事方</w:t>
      </w:r>
      <w:r>
        <w:rPr>
          <w:rFonts w:hint="eastAsia"/>
        </w:rPr>
        <w:t>》)</w:t>
      </w:r>
    </w:p>
    <w:p>
      <w:pPr>
        <w:rPr>
          <w:rFonts w:hint="eastAsia"/>
        </w:rPr>
      </w:pPr>
      <w:r>
        <w:rPr>
          <w:rFonts w:hint="eastAsia"/>
        </w:rPr>
        <w:t xml:space="preserve">    薯蓣  人参  沙参  远志  防风  真珠母  紫石英(</w:t>
      </w:r>
      <w:r>
        <w:rPr>
          <w:rFonts w:hint="eastAsia" w:ascii="楷体_GB2312" w:eastAsia="楷体_GB2312"/>
        </w:rPr>
        <w:t>研，水飞</w:t>
      </w:r>
      <w:r>
        <w:rPr>
          <w:rFonts w:hint="eastAsia"/>
        </w:rPr>
        <w:t>)  茯神  虎骨各一两  虎睛一对(</w:t>
      </w:r>
      <w:r>
        <w:rPr>
          <w:rFonts w:hint="eastAsia" w:ascii="楷体_GB2312" w:eastAsia="楷体_GB2312"/>
        </w:rPr>
        <w:t>二味须真者</w:t>
      </w:r>
      <w:r>
        <w:rPr>
          <w:rFonts w:hint="eastAsia"/>
        </w:rPr>
        <w:t>)  龙齿  华阴细辛  石菖蒲  五味子  丹参各一两</w:t>
      </w:r>
    </w:p>
    <w:p>
      <w:pPr>
        <w:rPr>
          <w:rFonts w:hint="eastAsia"/>
        </w:rPr>
      </w:pPr>
      <w:r>
        <w:rPr>
          <w:rFonts w:hint="eastAsia"/>
        </w:rPr>
        <w:t xml:space="preserve">    上细末，炼蜜为圆梧子大。每服三十圆至五十圆，金银薄荷汤下，食后临卧服 (</w:t>
      </w:r>
      <w:r>
        <w:rPr>
          <w:rFonts w:hint="eastAsia" w:ascii="楷体_GB2312" w:eastAsia="楷体_GB2312"/>
        </w:rPr>
        <w:t>食后服药，盖谓俟其食渐消化，而后服药，庶乎药力专一，非谓乍食之后，即以药进也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[方解]许叔微曰：元符中，一宗人得疾，逾年不差，谒医于王思和。思和具脉状云：病因惊恐，肝藏为邪，其病时头眩，瘛疭搐制，心胞伏涎，久之则害脾气。要当平肝气使归经，则脾不受克，以热药治之，则风愈甚，以冷药治之，则气已虚，今用中和温药，抑肝补脾，渐可安愈。服此方及续断圆、独活散，一月而愈(</w:t>
      </w:r>
      <w:r>
        <w:rPr>
          <w:rFonts w:hint="eastAsia" w:ascii="楷体_GB2312" w:eastAsia="楷体_GB2312"/>
        </w:rPr>
        <w:t>续断圆，独活散二方俱见《本事》第一卷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寿颐按：此亦治内动之风，珠母、龙齿、石英，皆潜阳息风之主；人参、山药所以扶脾，防肝气之来侮；菖远、茯神开痰涤涎。皆是古法。虎骨、虎睛，则古人之意，谓虎啸而风生，用其睛、骨盖亦镇定风阳之理，然温而能，恐未必有验，今亦未闻有用之者。若细辛、防风，则仍是古人之学理也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2" w:name="_Toc269461978"/>
      <w:r>
        <w:rPr>
          <w:rStyle w:val="6"/>
          <w:rFonts w:hint="eastAsia"/>
        </w:rPr>
        <w:t>辰砂远志丸</w:t>
      </w:r>
      <w:bookmarkEnd w:id="2"/>
      <w:r>
        <w:rPr>
          <w:rFonts w:hint="eastAsia"/>
        </w:rPr>
        <w:t>(《</w:t>
      </w:r>
      <w:r>
        <w:rPr>
          <w:rFonts w:hint="eastAsia" w:ascii="楷体_GB2312" w:eastAsia="楷体_GB2312"/>
        </w:rPr>
        <w:t>本事方</w:t>
      </w:r>
      <w:r>
        <w:rPr>
          <w:rFonts w:hint="eastAsia"/>
        </w:rPr>
        <w:t>》)  安神镇心，治惊悸、消风痰、止眩晕。</w:t>
      </w:r>
    </w:p>
    <w:p>
      <w:pPr>
        <w:rPr>
          <w:rFonts w:hint="eastAsia"/>
        </w:rPr>
      </w:pPr>
      <w:r>
        <w:rPr>
          <w:rFonts w:hint="eastAsia"/>
        </w:rPr>
        <w:t xml:space="preserve">    石菖蒲  远志  人参  茯神  川芎  山芋  铁粉  麦门冬  天麻  半夏曲  天南星(</w:t>
      </w:r>
      <w:r>
        <w:rPr>
          <w:rFonts w:hint="eastAsia" w:ascii="楷体_GB2312" w:eastAsia="楷体_GB2312"/>
        </w:rPr>
        <w:t>麸炒黄</w:t>
      </w:r>
      <w:r>
        <w:rPr>
          <w:rFonts w:hint="eastAsia"/>
        </w:rPr>
        <w:t>)  白附子(</w:t>
      </w:r>
      <w:r>
        <w:rPr>
          <w:rFonts w:hint="eastAsia" w:ascii="楷体_GB2312" w:eastAsia="楷体_GB2312"/>
        </w:rPr>
        <w:t>生</w:t>
      </w:r>
      <w:r>
        <w:rPr>
          <w:rFonts w:hint="eastAsia"/>
        </w:rPr>
        <w:t>)各一两  细辛  辰砂各半两</w:t>
      </w:r>
    </w:p>
    <w:p>
      <w:pPr>
        <w:rPr>
          <w:rFonts w:hint="eastAsia"/>
        </w:rPr>
      </w:pPr>
      <w:r>
        <w:rPr>
          <w:rFonts w:hint="eastAsia"/>
        </w:rPr>
        <w:t xml:space="preserve">    上为细末，生姜五两，捣取汁，和水煮，糊圆如绿豆大，别以朱砂为衣，阴干。每服二十粒，夜卧生姜汤送下，小儿减半服。</w:t>
      </w:r>
    </w:p>
    <w:p>
      <w:pPr>
        <w:rPr>
          <w:rFonts w:hint="eastAsia"/>
        </w:rPr>
      </w:pPr>
      <w:r>
        <w:rPr>
          <w:rFonts w:hint="eastAsia"/>
        </w:rPr>
        <w:t xml:space="preserve">    [方解]许叔微曰：铁粉非但化涎镇心，至如摧抑肝邪，其效特异。若多怒，肝邪太盛，铁粉能制服之。《素问》云：阳厥狂怒，治以铁落饮金制木也。</w:t>
      </w:r>
    </w:p>
    <w:p>
      <w:pPr>
        <w:ind w:firstLine="435"/>
        <w:rPr>
          <w:rFonts w:hint="eastAsia"/>
        </w:rPr>
      </w:pPr>
      <w:r>
        <w:rPr>
          <w:rFonts w:hint="eastAsia"/>
        </w:rPr>
        <w:t>寿颐按：此方镇逆化痰，无甚妙蕴，惟用铁粉，其物甚新。但不知如何粉法，似不如《千金》铁精汤之纯粹无弊，姑录之，以备一说。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84BD7"/>
    <w:rsid w:val="2AB84B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</w:style>
  <w:style w:type="character" w:customStyle="1" w:styleId="6">
    <w:name w:val="样式4 Char"/>
    <w:link w:val="7"/>
    <w:qFormat/>
    <w:uiPriority w:val="0"/>
    <w:rPr>
      <w:b/>
      <w:szCs w:val="24"/>
    </w:rPr>
  </w:style>
  <w:style w:type="paragraph" w:customStyle="1" w:styleId="7">
    <w:name w:val="样式4"/>
    <w:basedOn w:val="3"/>
    <w:link w:val="6"/>
    <w:qFormat/>
    <w:uiPriority w:val="0"/>
    <w:pPr>
      <w:outlineLvl w:val="3"/>
    </w:pPr>
    <w:rPr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2016-09-05T01:16:00Z</dcterms:created>
  <dc:creator>Administrator</dc:creator>
  <cp:lastModifiedBy>Administrator</cp:lastModifiedBy>
  <dcterms:modified xsi:type="dcterms:W3CDTF">2016-09-05T01:16:57Z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