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0" w:name="_Toc428262385"/>
      <w:bookmarkStart w:id="1" w:name="_Toc428262941"/>
      <w:r>
        <w:rPr>
          <w:rFonts w:hint="eastAsia"/>
        </w:rPr>
        <w:t>卷之一</w:t>
      </w:r>
      <w:bookmarkEnd w:id="0"/>
      <w:bookmarkEnd w:id="1"/>
    </w:p>
    <w:p>
      <w:pPr>
        <w:pStyle w:val="8"/>
        <w:rPr>
          <w:color w:val="auto"/>
        </w:rPr>
      </w:pPr>
      <w:bookmarkStart w:id="2" w:name="_Toc428262386"/>
      <w:bookmarkStart w:id="3" w:name="_Toc428262942"/>
      <w:r>
        <w:rPr>
          <w:rFonts w:hint="eastAsia"/>
          <w:color w:val="auto"/>
        </w:rPr>
        <w:t>中风论治</w:t>
      </w:r>
      <w:bookmarkEnd w:id="2"/>
      <w:bookmarkEnd w:id="3"/>
    </w:p>
    <w:p>
      <w:pPr>
        <w:pStyle w:val="9"/>
      </w:pPr>
      <w:r>
        <w:rPr>
          <w:rFonts w:hint="eastAsia"/>
        </w:rPr>
        <w:t>论曰：医经云：夫风者，百病之长也。由是观之，中风在伤寒之上，为病急卒。歧伯所谓大法有四∶一曰偏枯，二曰风痱，三曰风懿，四曰风痹，言其最重者也。外有五脏诸风，皆载之于《千金》矣，兹不复叙。大抵人之有生，以元气为根，营卫为本，根气强壮，营卫和平，腠理致密，外邪客气焉能为害？或因喜怒，或因忧思，或因惊恐，或饮食不节，或劳役过伤，遂致真气先虚，荣卫失度，腠理空疏，邪气乘虚而入。及其感也，为半身不遂，肌肉疼痛，为痰涎壅塞，口眼斜，偏废不仁，神智昏乱；为舌强不语，顽痹不知，精神恍惚，惊惕恐怖，或自汗恶风，筋脉挛急，变证多端。治疗之法，当推其所自，若内因七情而得之者，法当调气，不当治风，外因六淫而得之者，亦先当调气，然后依所感六气，随证治之，此良法也。但发直吐沫，摇头上撺，面赤如妆，或头面青黑，汗缀如珠，眼闭口开，声如鼾睡，遗尿不知人者，皆不可治。</w:t>
      </w:r>
    </w:p>
    <w:p>
      <w:pPr>
        <w:pStyle w:val="10"/>
        <w:ind w:firstLine="560"/>
        <w:rPr>
          <w:b w:val="0"/>
        </w:rPr>
      </w:pPr>
      <w:bookmarkStart w:id="4" w:name="_Toc428262389"/>
      <w:bookmarkStart w:id="5" w:name="_Toc428262945"/>
      <w:r>
        <w:rPr>
          <w:rFonts w:hint="eastAsia"/>
          <w:b w:val="0"/>
        </w:rPr>
        <w:t>排风汤</w:t>
      </w:r>
      <w:bookmarkEnd w:id="4"/>
      <w:bookmarkEnd w:id="5"/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治风湿虚冷，邪气入脏，狂言妄语，精神错乱。肝风发则面青，心闷，吐逆呕沫，胁痛头眩，不闻人声，偏枯筋急，曲蜷而卧；心风发则面赤，翕然而热，悲伤嗔怒，目张呼唤；脾风发则面黄，身体不仁，不能行步，饮食失味，梦寐颠倒，与亡人相随；肺风发则面白，欬逆，唾脓血，上气，奄然而极；肾风发则面黑，手足不遂，腰痛难以俯仰，冷痹骨疼。诸有此证，令人心惊，志意不定，恍惚多忘。服此汤安心志，聪耳明目，逐脏腑诸风疾，悉主之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白术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白鲜皮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川芎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白芍药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当归</w:t>
      </w:r>
      <w:r>
        <w:rPr>
          <w:rFonts w:hint="eastAsia" w:ascii="宋体" w:hAnsi="宋体"/>
          <w:sz w:val="20"/>
        </w:rPr>
        <w:t>去芦</w:t>
      </w:r>
      <w:r>
        <w:rPr>
          <w:rFonts w:ascii="宋体" w:hAnsi="宋体"/>
          <w:sz w:val="20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桂心</w:t>
      </w:r>
      <w:r>
        <w:rPr>
          <w:rFonts w:hint="eastAsia" w:ascii="宋体" w:hAnsi="宋体"/>
          <w:sz w:val="20"/>
        </w:rPr>
        <w:t>不见火</w:t>
      </w:r>
      <w:r>
        <w:rPr>
          <w:rFonts w:ascii="宋体" w:hAnsi="宋体"/>
          <w:sz w:val="20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防风</w:t>
      </w:r>
      <w:r>
        <w:rPr>
          <w:rFonts w:hint="eastAsia" w:ascii="宋体" w:hAnsi="宋体"/>
          <w:sz w:val="20"/>
        </w:rPr>
        <w:t>去芦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4"/>
        </w:rPr>
        <w:t>杏仁</w:t>
      </w:r>
      <w:r>
        <w:rPr>
          <w:rFonts w:hint="eastAsia" w:ascii="宋体" w:hAnsi="宋体"/>
          <w:sz w:val="20"/>
        </w:rPr>
        <w:t>去皮、尖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4"/>
        </w:rPr>
        <w:t>甘草</w:t>
      </w:r>
      <w:r>
        <w:rPr>
          <w:rFonts w:hint="eastAsia" w:ascii="宋体" w:hAnsi="宋体"/>
          <w:sz w:val="20"/>
        </w:rPr>
        <w:t>炙，各一两</w:t>
      </w:r>
      <w:r>
        <w:rPr>
          <w:rFonts w:hint="eastAsia" w:ascii="宋体" w:hAnsi="宋体"/>
          <w:sz w:val="24"/>
        </w:rPr>
        <w:t>川独活</w:t>
      </w:r>
      <w:r>
        <w:rPr>
          <w:rFonts w:hint="eastAsia" w:ascii="宋体" w:hAnsi="宋体"/>
          <w:sz w:val="20"/>
        </w:rPr>
        <w:t>去芦</w:t>
      </w:r>
      <w:r>
        <w:rPr>
          <w:rFonts w:hint="eastAsia" w:ascii="宋体" w:hAnsi="宋体"/>
          <w:sz w:val="24"/>
        </w:rPr>
        <w:t>麻黄</w:t>
      </w:r>
      <w:r>
        <w:rPr>
          <w:rFonts w:hint="eastAsia" w:ascii="宋体" w:hAnsi="宋体"/>
          <w:sz w:val="20"/>
        </w:rPr>
        <w:t>去根、节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4"/>
        </w:rPr>
        <w:t>茯苓</w:t>
      </w:r>
      <w:r>
        <w:rPr>
          <w:rFonts w:hint="eastAsia" w:ascii="宋体" w:hAnsi="宋体"/>
          <w:sz w:val="20"/>
        </w:rPr>
        <w:t>去皮，各三两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上㕮咀，每服四钱，水一盏半、生姜七片，枣二枚煎七分，去滓，温服，不拘时候。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服之微汗不妨，此药大理荣血，摧抑肝邪。肝实有风，脉来浮实有力，目赤胁疼，口苦心烦，错语多怒，宜加羚羊角。热盛者，加犀角。肝虚有风，脉来浮虚无力，当去麻黄，加黄芪。不能言语者，加荆沥。</w:t>
      </w:r>
    </w:p>
    <w:p>
      <w:pPr>
        <w:pStyle w:val="8"/>
        <w:rPr>
          <w:color w:val="auto"/>
        </w:rPr>
      </w:pPr>
      <w:bookmarkStart w:id="6" w:name="_Toc428262960"/>
      <w:bookmarkStart w:id="7" w:name="_Toc428262404"/>
      <w:bookmarkStart w:id="10" w:name="_GoBack"/>
      <w:r>
        <w:rPr>
          <w:rFonts w:hint="eastAsia"/>
          <w:color w:val="auto"/>
        </w:rPr>
        <w:t>中湿</w:t>
      </w:r>
      <w:bookmarkEnd w:id="10"/>
      <w:r>
        <w:rPr>
          <w:rFonts w:hint="eastAsia"/>
          <w:color w:val="auto"/>
        </w:rPr>
        <w:t>论治</w:t>
      </w:r>
      <w:bookmarkEnd w:id="6"/>
      <w:bookmarkEnd w:id="7"/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论曰：《活人书》云：风雨袭虚，山泽蒸气，令人中湿，湿流关节，身体烦痛，其脉沉缓为中湿。大抵中湿变证万端：夹风者，为烦热，为流走，为拘急；兼寒者，为痛，为浮肿；与风寒二气合则为痹，皆由中湿而后夹以异气而然也。治湿之法，不可大发汗，慎不可以火攻之，惟当利其小便。医经所谓：治湿不利小便，非其治也。</w:t>
      </w:r>
    </w:p>
    <w:p>
      <w:pPr>
        <w:pStyle w:val="10"/>
        <w:ind w:firstLine="562"/>
      </w:pPr>
      <w:bookmarkStart w:id="8" w:name="_Toc428262961"/>
      <w:bookmarkStart w:id="9" w:name="_Toc428262405"/>
      <w:r>
        <w:rPr>
          <w:rFonts w:hint="eastAsia"/>
        </w:rPr>
        <w:t>抚芎汤</w:t>
      </w:r>
      <w:bookmarkEnd w:id="8"/>
      <w:bookmarkEnd w:id="9"/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治湿流关节，臂疼手重，不可俯仰，或自汗，头眩，痰逆恶心。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抚芎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白术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橘红</w:t>
      </w:r>
      <w:r>
        <w:rPr>
          <w:rFonts w:hint="eastAsia" w:ascii="宋体" w:hAnsi="宋体"/>
          <w:sz w:val="20"/>
        </w:rPr>
        <w:t>各一两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甘草</w:t>
      </w:r>
      <w:r>
        <w:rPr>
          <w:rFonts w:hint="eastAsia" w:ascii="宋体" w:hAnsi="宋体"/>
          <w:sz w:val="20"/>
        </w:rPr>
        <w:t>炙，半两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上㕮咀，每服四钱，水一盏半、姜七片煎至八分，去滓，温服，不拘时候。</w:t>
      </w:r>
      <w:r>
        <w:rPr>
          <w:rFonts w:ascii="宋体" w:hAnsi="宋体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43A07"/>
    <w:rsid w:val="4E543A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卷之"/>
    <w:basedOn w:val="2"/>
    <w:uiPriority w:val="0"/>
    <w:pPr>
      <w:spacing w:line="360" w:lineRule="auto"/>
    </w:pPr>
    <w:rPr>
      <w:rFonts w:ascii="黑体" w:hAnsi="黑体" w:eastAsia="黑体"/>
      <w:sz w:val="32"/>
      <w:szCs w:val="32"/>
    </w:rPr>
  </w:style>
  <w:style w:type="paragraph" w:customStyle="1" w:styleId="8">
    <w:name w:val="论治"/>
    <w:basedOn w:val="3"/>
    <w:uiPriority w:val="0"/>
    <w:pPr>
      <w:spacing w:line="360" w:lineRule="auto"/>
      <w:ind w:firstLine="602" w:firstLineChars="200"/>
    </w:pPr>
    <w:rPr>
      <w:rFonts w:ascii="黑体" w:hAnsi="黑体" w:cs="黑体"/>
      <w:color w:val="000000"/>
      <w:sz w:val="30"/>
      <w:szCs w:val="30"/>
    </w:rPr>
  </w:style>
  <w:style w:type="paragraph" w:customStyle="1" w:styleId="9">
    <w:name w:val="校对正文"/>
    <w:basedOn w:val="1"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customStyle="1" w:styleId="10">
    <w:name w:val="方剂名"/>
    <w:basedOn w:val="4"/>
    <w:uiPriority w:val="0"/>
    <w:pPr>
      <w:spacing w:line="360" w:lineRule="auto"/>
      <w:ind w:firstLine="482" w:firstLineChars="200"/>
    </w:pPr>
    <w:rPr>
      <w:rFonts w:ascii="宋体" w:hAnsi="宋体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2016-07-23T02:36:00Z</dcterms:created>
  <dc:creator>Administrator</dc:creator>
  <cp:lastModifiedBy>Administrator</cp:lastModifiedBy>
  <dcterms:modified xsi:type="dcterms:W3CDTF">2016-07-23T02:36:14Z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