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三焦人三焦者腑也两傍五十八穴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sz w:val="21"/>
          <w:szCs w:val="21"/>
        </w:rPr>
        <w:t>关冲（在手小指次指之端，去爪甲如韭叶，灸三壮。主喉痹舌卷，口乾烦心，臂表痛不可及头，在左取右，右取左；热病汗不出，肘痛不能自带衣，起头眩，颔痛面黑，肩头痛不可顾，霍乱，寒热，耳聋鸣。甄权云∶不宜灸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sz w:val="21"/>
          <w:szCs w:val="21"/>
        </w:rPr>
        <w:t>中渚（在手小指、次指本节後间陷者中，灸三壮。主热病汗不出，头痛，耳鸣，目痛，寒热，嗌外肿，肘臂痛，手上类类也，五指不可屈伸，头眩，耳聋，两颞俻痛，身面痒，疟，项痛，目圙圙无所见，喉痹。）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97A72"/>
    <w:rsid w:val="0EC97A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2016-07-23T02:22:00Z</dcterms:created>
  <dc:creator>Administrator</dc:creator>
  <cp:lastModifiedBy>Administrator</cp:lastModifiedBy>
  <dcterms:modified xsi:type="dcterms:W3CDTF">2016-07-23T02:22:18Z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