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/>
        <w:jc w:val="center"/>
        <w:outlineLvl w:val="0"/>
        <w:rPr>
          <w:rFonts w:hint="eastAsia" w:ascii="宋体" w:hAnsi="宋体" w:cs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</w:rPr>
        <w:t>卷第十四</w:t>
      </w:r>
    </w:p>
    <w:p>
      <w:pPr>
        <w:pStyle w:val="2"/>
        <w:spacing w:before="225" w:after="0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许仁则疗诸风方七首</w:t>
      </w:r>
    </w:p>
    <w:bookmarkEnd w:id="0"/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许仁则疗诸风病方。此病多途。有失音不得语。精神如醉人。手足俱不得运用者。有能言精神俱不异平常。而发作有时。每发即狂言浪语。高声大叫。得定之后。都不自醒者；有诸事不异寻常。发作有时。每发即狂走叫唤者。有时每发即作牛羊禽兽声；醒后不自觉者。有诸事不异寻常。发作有时。发即头旋目眩。头痛眼花。心闷辄吐；经久方定者。有诸事不异平常。发作有时。每发即热。头痛流汗；不能自胜举者。此等诸风。形候虽别。寻其源也。俱失于养生。本气既羸。偏有所损。或以男女。或以饮食。或以思虑。或以劳役。既极于事。能无败乎。当量已所归而舍割之。静思息事。兼助以药物。亦有可复之理。风有因饮酒过节。不能言语。手足不随。精神昏恍。得病经一两日。宜合生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"http://www.zysj.com.cn/zhongyaocai/yaocai_g/gegen.html" \o "中药材：葛根"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葛根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等三味汤服之方。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生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"http://www.zysj.com.cn/zhongyaocai/yaocai_g/gegen.html" \o "中药材：葛根"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葛根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（一挺长一尺径三寸）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"http://www.zysj.com.cn/zhongyaocai/yaocai_s/shengjiang.html" \o "中药材：生姜"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生姜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（汁一合） 竹沥（二大升。如不可得宜用 竹根一大升切。以水一大斗如上法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上药先取生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"http://www.zysj.com.cn/zhongyaocai/yaocai_g/gegen.html" \o "中药材：葛根"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葛根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净洗刷。使捣极碎且空。榨取汁令尽讫。又捣。即以竹沥泼洒极榨取汁。汁数。及食前食后。如觉腹内。转作声又似痛。即以食后温服之。如此经七日以后。服附子等十味汤。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4B1F"/>
    <w:rsid w:val="77F34B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2016-07-23T02:20:00Z</dcterms:created>
  <dc:creator>Administrator</dc:creator>
  <cp:lastModifiedBy>Administrator</cp:lastModifiedBy>
  <dcterms:modified xsi:type="dcterms:W3CDTF">2016-07-23T02:20:13Z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