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69566956"/>
      <w:r>
        <w:t>石</w:t>
      </w:r>
      <w:r>
        <w:rPr>
          <w:rFonts w:hint="eastAsia"/>
        </w:rPr>
        <w:t xml:space="preserve"> </w:t>
      </w:r>
      <w:r>
        <w:t>决</w:t>
      </w:r>
      <w:r>
        <w:rPr>
          <w:rFonts w:hint="eastAsia"/>
        </w:rPr>
        <w:t xml:space="preserve"> </w:t>
      </w:r>
      <w:r>
        <w:t>明</w:t>
      </w:r>
      <w:r>
        <w:rPr>
          <w:rFonts w:hint="eastAsia"/>
        </w:rPr>
        <w:t xml:space="preserve"> </w:t>
      </w:r>
      <w:r>
        <w:t>解</w:t>
      </w:r>
      <w:bookmarkEnd w:id="0"/>
    </w:p>
    <w:p>
      <w:r>
        <w:t xml:space="preserve">    石决明味微咸，性微凉，为凉肝镇肝之要药。肝开窍于目，是以其性善明目，研细水飞作敷药，能除目外障，作丸散内服，能消目内障(</w:t>
      </w:r>
      <w:r>
        <w:rPr>
          <w:rStyle w:val="5"/>
          <w:rFonts w:hint="eastAsia"/>
        </w:rPr>
        <w:t>消内障丸散优于汤剂</w:t>
      </w:r>
      <w:r>
        <w:t>)。为其能凉肝，兼能镇肝，故善治脑中充血作疼作眩晕，因此证多系肝气肝火挟血上冲也。是以愚治脑充血证，恒重用之至两许。其性又善利小便、通五淋，盖肝主疏泄为肾行气，用决明以凉之镇之，俾肝气肝火不妄动自能下行，肾气不失疏泄之常，则小便之难者自利，五淋之涩者自通矣。此物乃鳆甲也，状如蛤，单片附石而生，其边有孔如豌豆，七孔九孔者佳，宜生研作粉用之，不宜煅用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31922"/>
    <w:rsid w:val="758319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样式 楷体_GB2312"/>
    <w:uiPriority w:val="0"/>
    <w:rPr>
      <w:rFonts w:ascii="楷体_GB2312" w:hAnsi="楷体_GB2312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2016-07-23T01:53:00Z</dcterms:created>
  <dc:creator>Administrator</dc:creator>
  <cp:lastModifiedBy>Administrator</cp:lastModifiedBy>
  <dcterms:modified xsi:type="dcterms:W3CDTF">2016-07-23T01:53:44Z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